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9FA2" w14:textId="77777777" w:rsidR="002E058A" w:rsidRDefault="00366F71">
      <w:pPr>
        <w:tabs>
          <w:tab w:val="left" w:pos="8450"/>
        </w:tabs>
        <w:suppressAutoHyphens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l-PL" w:bidi="ar-SA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pl-PL" w:bidi="ar-SA"/>
        </w:rPr>
        <w:t xml:space="preserve">Procedura ustalania i zmiany kryteriów wyboru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pl-PL" w:bidi="ar-SA"/>
        </w:rPr>
        <w:t>grantobiorców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val="pl-PL" w:bidi="ar-SA"/>
        </w:rPr>
        <w:t>:</w:t>
      </w:r>
    </w:p>
    <w:p w14:paraId="67B4F260" w14:textId="77777777" w:rsidR="002E058A" w:rsidRDefault="005C513E">
      <w:pPr>
        <w:numPr>
          <w:ilvl w:val="0"/>
          <w:numId w:val="1"/>
        </w:numPr>
        <w:tabs>
          <w:tab w:val="left" w:pos="-3060"/>
        </w:tabs>
        <w:suppressAutoHyphens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ascii="Times New Roman" w:eastAsiaTheme="minorHAnsi" w:hAnsi="Times New Roman" w:cstheme="minorBidi"/>
          <w:sz w:val="24"/>
          <w:szCs w:val="24"/>
          <w:lang w:val="pl-PL" w:bidi="ar-SA"/>
        </w:rPr>
        <w:t xml:space="preserve">Biuro </w:t>
      </w:r>
      <w:r w:rsidR="00366F71">
        <w:rPr>
          <w:rFonts w:ascii="Times New Roman" w:eastAsiaTheme="minorHAnsi" w:hAnsi="Times New Roman" w:cstheme="minorBidi"/>
          <w:sz w:val="24"/>
          <w:szCs w:val="24"/>
          <w:lang w:val="pl-PL" w:bidi="ar-SA"/>
        </w:rPr>
        <w:t xml:space="preserve">LGD przygotowuje projekt kryteriów wyboru </w:t>
      </w:r>
      <w:proofErr w:type="spellStart"/>
      <w:r w:rsidR="00366F71">
        <w:rPr>
          <w:rFonts w:ascii="Times New Roman" w:eastAsiaTheme="minorHAnsi" w:hAnsi="Times New Roman" w:cstheme="minorBidi"/>
          <w:sz w:val="24"/>
          <w:szCs w:val="24"/>
          <w:lang w:val="pl-PL" w:bidi="ar-SA"/>
        </w:rPr>
        <w:t>grantobiorców</w:t>
      </w:r>
      <w:proofErr w:type="spellEnd"/>
      <w:r w:rsidR="00366F71">
        <w:rPr>
          <w:rFonts w:ascii="Times New Roman" w:eastAsiaTheme="minorHAnsi" w:hAnsi="Times New Roman" w:cstheme="minorBidi"/>
          <w:sz w:val="24"/>
          <w:szCs w:val="24"/>
          <w:lang w:val="pl-PL" w:bidi="ar-SA"/>
        </w:rPr>
        <w:t>. Przygotowane kryteria wyboru muszą być:</w:t>
      </w:r>
    </w:p>
    <w:p w14:paraId="23C335A0" w14:textId="77777777" w:rsidR="002E058A" w:rsidRDefault="00366F71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logicznie powiązane ze stwierdzonymi potrzebami, określonymi celami oraz przyjętymi wskaźnikami produktu i rezultatu zapisanymi w LSR,</w:t>
      </w:r>
    </w:p>
    <w:p w14:paraId="12ED126B" w14:textId="77777777" w:rsidR="002E058A" w:rsidRDefault="00366F71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przejrzyste, obiektywne i niedyskryminujące, </w:t>
      </w:r>
    </w:p>
    <w:p w14:paraId="2BE85DCD" w14:textId="77777777" w:rsidR="002E058A" w:rsidRDefault="00366F71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mierzalne oraz powinny posiadać dodatkowe opisy i definicje, pozwalające na ich właściwe zrozumienie i zastosowanie,</w:t>
      </w:r>
    </w:p>
    <w:p w14:paraId="0C634D87" w14:textId="77777777" w:rsidR="002E058A" w:rsidRDefault="00366F71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dookreślone w zakresie spełniania warunków przyznania określonej liczby punktów.</w:t>
      </w:r>
    </w:p>
    <w:p w14:paraId="58A1F587" w14:textId="77777777" w:rsidR="00BB4DEB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Przygotowane Kryteria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– przed ich zatwierdzeniem, zostaną poddane konsultacjom wewnętrznym i zewnętrznym, przez ich publikację na stronie internetowej LGD przez 7 dni.</w:t>
      </w:r>
      <w:r w:rsidR="00A65F6C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</w:t>
      </w:r>
    </w:p>
    <w:p w14:paraId="585532CE" w14:textId="77777777" w:rsidR="002E058A" w:rsidRDefault="00A65F6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W terminie</w:t>
      </w:r>
      <w:r w:rsidR="00BB4DEB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, o którym mowa w ust. 2,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</w:t>
      </w:r>
      <w:r w:rsidR="00BB4DEB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biuro LGD przyjmować będzie uwagi do projektu kryteriów.</w:t>
      </w:r>
    </w:p>
    <w:p w14:paraId="578ADEDA" w14:textId="71DFEDBA" w:rsidR="002E058A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Zasadę konsultacji kryteriów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przed ich zatwierdzeniem, o której mowa w ust. 2</w:t>
      </w:r>
      <w:r w:rsidR="00BB4DEB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i 3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. stosuje się odpowiednio w przypadku zmiany kryteriów wyboru</w:t>
      </w:r>
      <w:r w:rsidR="00E45D4B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</w:t>
      </w:r>
      <w:proofErr w:type="spellStart"/>
      <w:r w:rsidR="0024732F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.</w:t>
      </w:r>
      <w:bookmarkStart w:id="0" w:name="_GoBack"/>
      <w:bookmarkEnd w:id="0"/>
    </w:p>
    <w:p w14:paraId="05943F1E" w14:textId="77777777" w:rsidR="002E058A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Konsultacja kryteriów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przed ich zatwierdzeniem przez Zarząd LGD ma na celu:</w:t>
      </w:r>
    </w:p>
    <w:p w14:paraId="23462749" w14:textId="2981357A" w:rsidR="002E058A" w:rsidRDefault="00366F71">
      <w:pPr>
        <w:numPr>
          <w:ilvl w:val="1"/>
          <w:numId w:val="3"/>
        </w:numPr>
        <w:suppressAutoHyphens w:val="0"/>
        <w:spacing w:before="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wypracowanie kryteriów </w:t>
      </w:r>
      <w:r w:rsidR="008D3CF2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, które pozwolą wyłonić wnioski najpełniej wpisujące się w realizację przedsięwzięć i celów LSR;</w:t>
      </w:r>
    </w:p>
    <w:p w14:paraId="555DD6A3" w14:textId="77777777" w:rsidR="002E058A" w:rsidRDefault="00366F71">
      <w:pPr>
        <w:numPr>
          <w:ilvl w:val="1"/>
          <w:numId w:val="3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wypracowanie precyzyjnych i zrozumiałych dla wnioskodawców kryteriów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, które w toku ich stosowania nie będą budzić wątpliwości interpretacyjnych wśród wnioskodawców </w:t>
      </w:r>
      <w:r w:rsid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polegających zwłaszcza na użyciu niejasnych lub nieostrych pojęć</w:t>
      </w:r>
      <w:r w:rsid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.</w:t>
      </w:r>
    </w:p>
    <w:p w14:paraId="0C00111F" w14:textId="0394D4FD" w:rsidR="002E058A" w:rsidRDefault="00366F71">
      <w:pPr>
        <w:numPr>
          <w:ilvl w:val="0"/>
          <w:numId w:val="1"/>
        </w:numPr>
        <w:suppressAutoHyphens w:val="0"/>
        <w:spacing w:before="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Kryteria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podlegają zmianie </w:t>
      </w:r>
      <w:r w:rsidR="0024732F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w szczególności 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w przypadku:</w:t>
      </w:r>
    </w:p>
    <w:p w14:paraId="799D86EF" w14:textId="7FBBA760" w:rsidR="00846603" w:rsidRDefault="008D3CF2">
      <w:pPr>
        <w:numPr>
          <w:ilvl w:val="1"/>
          <w:numId w:val="4"/>
        </w:numPr>
        <w:suppressAutoHyphens w:val="0"/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w</w:t>
      </w:r>
      <w:r w:rsidRP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skazania </w:t>
      </w:r>
      <w:r w:rsidR="00846603" w:rsidRP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błędów w sformułowaniu poszczególnych kryteriów przez Zarząd Województwa</w:t>
      </w:r>
      <w:r w:rsid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,</w:t>
      </w:r>
    </w:p>
    <w:p w14:paraId="2B4E7344" w14:textId="5D111A4A" w:rsidR="002E058A" w:rsidRDefault="008D3CF2">
      <w:pPr>
        <w:numPr>
          <w:ilvl w:val="1"/>
          <w:numId w:val="4"/>
        </w:numPr>
        <w:suppressAutoHyphens w:val="0"/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wniosku </w:t>
      </w:r>
      <w:r w:rsidR="00366F71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Przewodniczącego Rady LGD o dokonanie zmiany kryteriów, w związku</w:t>
      </w:r>
      <w:r w:rsidR="00846603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</w:t>
      </w:r>
      <w:r w:rsidR="00366F71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z wątpliwościami interpretacyjnymi w czasie oceny wniosków grantowych przez Radę,</w:t>
      </w:r>
    </w:p>
    <w:p w14:paraId="7BA8B5AA" w14:textId="77777777" w:rsidR="002E058A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Za prawidłowy przebieg procedury przygotowania kryteriów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br/>
        <w:t xml:space="preserve">i wprowadzania zmian do tych kryteriów odpowiedzialne jest biuro LGD. </w:t>
      </w:r>
    </w:p>
    <w:p w14:paraId="124E4348" w14:textId="1B648A80" w:rsidR="002E058A" w:rsidRPr="00000A61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lastRenderedPageBreak/>
        <w:t xml:space="preserve">Podjęcie uchwały w sprawie zatwierdzenia kryteriów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oraz zmiany tych kryteriów należy do </w:t>
      </w:r>
      <w:r w:rsidRPr="00000A61"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kompetencji Zarządu LGD.</w:t>
      </w:r>
    </w:p>
    <w:p w14:paraId="5F77D2D5" w14:textId="77777777" w:rsidR="002E058A" w:rsidRDefault="00366F7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Zatwierdzone kryteria wyboru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>grantobiorców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pl-PL" w:eastAsia="zh-CN" w:bidi="ar-SA"/>
        </w:rPr>
        <w:t xml:space="preserve"> a także ich zmiany są publikowane  na stronie internetowej LGD. </w:t>
      </w:r>
    </w:p>
    <w:p w14:paraId="12E01FA1" w14:textId="77777777" w:rsidR="002E058A" w:rsidRPr="008D3CF2" w:rsidRDefault="002E058A">
      <w:pPr>
        <w:pStyle w:val="Akapitzlist"/>
        <w:tabs>
          <w:tab w:val="left" w:pos="-4962"/>
          <w:tab w:val="left" w:pos="-4251"/>
          <w:tab w:val="left" w:pos="-2551"/>
          <w:tab w:val="left" w:pos="851"/>
        </w:tabs>
        <w:spacing w:after="0" w:line="360" w:lineRule="auto"/>
        <w:ind w:left="0"/>
        <w:jc w:val="both"/>
        <w:rPr>
          <w:lang w:val="pl-PL"/>
        </w:rPr>
      </w:pPr>
    </w:p>
    <w:sectPr w:rsidR="002E058A" w:rsidRPr="008D3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5F0D56" w16cex:dateUtc="2024-05-21T11:32:00Z"/>
  <w16cex:commentExtensible w16cex:durableId="3448109B" w16cex:dateUtc="2024-05-21T11:22:00Z"/>
  <w16cex:commentExtensible w16cex:durableId="1C0E12AB" w16cex:dateUtc="2024-05-21T11:25:00Z"/>
  <w16cex:commentExtensible w16cex:durableId="1207122A" w16cex:dateUtc="2024-05-21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79F9A5" w16cid:durableId="715F0D56"/>
  <w16cid:commentId w16cid:paraId="4918EA3A" w16cid:durableId="3448109B"/>
  <w16cid:commentId w16cid:paraId="18F890E2" w16cid:durableId="1C0E12AB"/>
  <w16cid:commentId w16cid:paraId="3C323BA5" w16cid:durableId="120712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BDAD" w14:textId="77777777" w:rsidR="00B90476" w:rsidRDefault="00B90476">
      <w:pPr>
        <w:spacing w:after="0" w:line="240" w:lineRule="auto"/>
      </w:pPr>
      <w:r>
        <w:separator/>
      </w:r>
    </w:p>
  </w:endnote>
  <w:endnote w:type="continuationSeparator" w:id="0">
    <w:p w14:paraId="63A8E0FD" w14:textId="77777777" w:rsidR="00B90476" w:rsidRDefault="00B9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460599"/>
      <w:docPartObj>
        <w:docPartGallery w:val="Page Numbers (Bottom of Page)"/>
        <w:docPartUnique/>
      </w:docPartObj>
    </w:sdtPr>
    <w:sdtEndPr/>
    <w:sdtContent>
      <w:p w14:paraId="31E918BF" w14:textId="77777777" w:rsidR="002E058A" w:rsidRDefault="00366F7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45D4B">
          <w:rPr>
            <w:noProof/>
          </w:rPr>
          <w:t>1</w:t>
        </w:r>
        <w:r>
          <w:fldChar w:fldCharType="end"/>
        </w:r>
      </w:p>
    </w:sdtContent>
  </w:sdt>
  <w:p w14:paraId="5667344C" w14:textId="77777777" w:rsidR="002E058A" w:rsidRDefault="002E05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DD123" w14:textId="77777777" w:rsidR="00B90476" w:rsidRDefault="00B90476">
      <w:pPr>
        <w:spacing w:after="0" w:line="240" w:lineRule="auto"/>
      </w:pPr>
      <w:r>
        <w:separator/>
      </w:r>
    </w:p>
  </w:footnote>
  <w:footnote w:type="continuationSeparator" w:id="0">
    <w:p w14:paraId="0A871C09" w14:textId="77777777" w:rsidR="00B90476" w:rsidRDefault="00B9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D526" w14:textId="77777777" w:rsidR="002E058A" w:rsidRDefault="00366F71">
    <w:pPr>
      <w:tabs>
        <w:tab w:val="center" w:pos="4536"/>
        <w:tab w:val="right" w:pos="9072"/>
      </w:tabs>
      <w:suppressAutoHyphens w:val="0"/>
      <w:jc w:val="right"/>
      <w:rPr>
        <w:rFonts w:ascii="Times New Roman" w:hAnsi="Times New Roman" w:cs="Times New Roman"/>
        <w:bCs/>
        <w:sz w:val="24"/>
        <w:szCs w:val="24"/>
        <w:lang w:val="pl-PL"/>
      </w:rPr>
    </w:pPr>
    <w:r>
      <w:rPr>
        <w:rFonts w:ascii="Times New Roman" w:hAnsi="Times New Roman" w:cs="Times New Roman"/>
        <w:bCs/>
        <w:sz w:val="24"/>
        <w:szCs w:val="24"/>
        <w:lang w:val="pl-PL"/>
      </w:rPr>
      <w:t xml:space="preserve">Załącznik nr 1 do Procedury wyboru i oceny </w:t>
    </w:r>
    <w:proofErr w:type="spellStart"/>
    <w:r>
      <w:rPr>
        <w:rFonts w:ascii="Times New Roman" w:hAnsi="Times New Roman" w:cs="Times New Roman"/>
        <w:bCs/>
        <w:sz w:val="24"/>
        <w:szCs w:val="24"/>
        <w:lang w:val="pl-PL"/>
      </w:rPr>
      <w:t>grantobiorców</w:t>
    </w:r>
    <w:proofErr w:type="spellEnd"/>
  </w:p>
  <w:p w14:paraId="3085FEED" w14:textId="77777777" w:rsidR="002E058A" w:rsidRDefault="00366F71">
    <w:pPr>
      <w:tabs>
        <w:tab w:val="center" w:pos="4536"/>
        <w:tab w:val="right" w:pos="9072"/>
      </w:tabs>
      <w:suppressAutoHyphens w:val="0"/>
      <w:jc w:val="center"/>
      <w:rPr>
        <w:rFonts w:ascii="Times New Roman" w:hAnsi="Times New Roman" w:cs="Times New Roman"/>
        <w:sz w:val="28"/>
        <w:szCs w:val="28"/>
        <w:lang w:val="pl-PL"/>
      </w:rPr>
    </w:pPr>
    <w:r>
      <w:rPr>
        <w:rFonts w:ascii="Times New Roman" w:hAnsi="Times New Roman" w:cs="Times New Roman"/>
        <w:b/>
        <w:sz w:val="28"/>
        <w:szCs w:val="28"/>
        <w:lang w:val="pl-PL"/>
      </w:rPr>
      <w:t xml:space="preserve">Procedura ustalania i zmiany kryteriów wyboru </w:t>
    </w:r>
    <w:proofErr w:type="spellStart"/>
    <w:r>
      <w:rPr>
        <w:rFonts w:ascii="Times New Roman" w:hAnsi="Times New Roman" w:cs="Times New Roman"/>
        <w:b/>
        <w:sz w:val="28"/>
        <w:szCs w:val="28"/>
        <w:lang w:val="pl-PL"/>
      </w:rPr>
      <w:t>grantobiorców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9A5"/>
    <w:multiLevelType w:val="multilevel"/>
    <w:tmpl w:val="246CC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0ED2"/>
    <w:multiLevelType w:val="multilevel"/>
    <w:tmpl w:val="89B80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510A14"/>
    <w:multiLevelType w:val="multilevel"/>
    <w:tmpl w:val="8E6EA8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935"/>
    <w:multiLevelType w:val="multilevel"/>
    <w:tmpl w:val="C93446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0676B"/>
    <w:multiLevelType w:val="hybridMultilevel"/>
    <w:tmpl w:val="C9FA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2F68"/>
    <w:multiLevelType w:val="multilevel"/>
    <w:tmpl w:val="D2327D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8A"/>
    <w:rsid w:val="00000A61"/>
    <w:rsid w:val="00035CB8"/>
    <w:rsid w:val="001806E8"/>
    <w:rsid w:val="0024732F"/>
    <w:rsid w:val="002C22EA"/>
    <w:rsid w:val="002E058A"/>
    <w:rsid w:val="00366F71"/>
    <w:rsid w:val="00473B1E"/>
    <w:rsid w:val="00505AC2"/>
    <w:rsid w:val="005C513E"/>
    <w:rsid w:val="006001CB"/>
    <w:rsid w:val="007A00BF"/>
    <w:rsid w:val="007A768E"/>
    <w:rsid w:val="00846603"/>
    <w:rsid w:val="008D3CF2"/>
    <w:rsid w:val="00931A58"/>
    <w:rsid w:val="0097486B"/>
    <w:rsid w:val="00A2370D"/>
    <w:rsid w:val="00A65F6C"/>
    <w:rsid w:val="00B42D13"/>
    <w:rsid w:val="00B90476"/>
    <w:rsid w:val="00BB40A6"/>
    <w:rsid w:val="00BB4DEB"/>
    <w:rsid w:val="00D238ED"/>
    <w:rsid w:val="00E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32D"/>
  <w15:docId w15:val="{BEC898B0-E55D-47B5-BC8A-3D19D7A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05"/>
    <w:pPr>
      <w:suppressAutoHyphens/>
      <w:spacing w:after="200" w:line="276" w:lineRule="auto"/>
    </w:pPr>
    <w:rPr>
      <w:rFonts w:eastAsia="Times New Roman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684705"/>
    <w:rPr>
      <w:rFonts w:ascii="Calibri" w:eastAsia="Times New Roman" w:hAnsi="Calibri" w:cs="Calibri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4EDB"/>
    <w:rPr>
      <w:rFonts w:ascii="Calibri" w:eastAsia="Times New Roman" w:hAnsi="Calibri" w:cs="Calibri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9C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834CC"/>
    <w:rPr>
      <w:rFonts w:ascii="Calibri" w:eastAsia="Times New Roman" w:hAnsi="Calibri" w:cs="Calibri"/>
      <w:lang w:val="en-US" w:bidi="en-US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i w:val="0"/>
      <w:iCs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i w:val="0"/>
      <w:iCs w:val="0"/>
    </w:rPr>
  </w:style>
  <w:style w:type="character" w:customStyle="1" w:styleId="ListLabel6">
    <w:name w:val="ListLabel 6"/>
    <w:qFormat/>
    <w:rPr>
      <w:rFonts w:ascii="Times New Roman" w:hAnsi="Times New Roman"/>
      <w:i w:val="0"/>
      <w:iCs w:val="0"/>
      <w:sz w:val="24"/>
    </w:rPr>
  </w:style>
  <w:style w:type="paragraph" w:styleId="Nagwek">
    <w:name w:val="header"/>
    <w:basedOn w:val="Normalny"/>
    <w:next w:val="Tekstpodstawowy"/>
    <w:link w:val="NagwekZnak"/>
    <w:semiHidden/>
    <w:rsid w:val="006847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684705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E54ED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CF2"/>
    <w:rPr>
      <w:rFonts w:eastAsia="Times New Roman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CF2"/>
    <w:rPr>
      <w:rFonts w:eastAsia="Times New Roman" w:cs="Calibri"/>
      <w:b/>
      <w:bCs/>
      <w:sz w:val="20"/>
      <w:szCs w:val="20"/>
      <w:lang w:val="en-US" w:bidi="en-US"/>
    </w:rPr>
  </w:style>
  <w:style w:type="paragraph" w:styleId="Poprawka">
    <w:name w:val="Revision"/>
    <w:hidden/>
    <w:uiPriority w:val="99"/>
    <w:semiHidden/>
    <w:rsid w:val="008D3CF2"/>
    <w:rPr>
      <w:rFonts w:eastAsia="Times New Roman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5771-3D40-47E2-9944-AA8FE57A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dc:description/>
  <cp:lastModifiedBy>Michał Ślusarczyk</cp:lastModifiedBy>
  <cp:revision>4</cp:revision>
  <cp:lastPrinted>2024-04-12T07:50:00Z</cp:lastPrinted>
  <dcterms:created xsi:type="dcterms:W3CDTF">2024-05-28T12:25:00Z</dcterms:created>
  <dcterms:modified xsi:type="dcterms:W3CDTF">2024-06-11T09:30:00Z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