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1A8" w:rsidRDefault="00556670" w:rsidP="00556670">
      <w:pPr>
        <w:rPr>
          <w:rFonts w:ascii="Times New Roman" w:hAnsi="Times New Roman"/>
          <w:i/>
        </w:rPr>
      </w:pPr>
      <w:bookmarkStart w:id="0" w:name="_GoBack"/>
      <w:bookmarkEnd w:id="0"/>
      <w:r w:rsidRPr="00D068C4">
        <w:rPr>
          <w:rFonts w:ascii="Times New Roman" w:hAnsi="Times New Roman"/>
          <w:i/>
        </w:rPr>
        <w:t>Załącznik nr 7 do Regulaminu przyznawania środków finansowych na rozwój przedsiębiorczości</w:t>
      </w:r>
    </w:p>
    <w:p w:rsidR="00556670" w:rsidRPr="00D068C4" w:rsidRDefault="00556670" w:rsidP="00556670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UMOWA NR …</w:t>
      </w:r>
    </w:p>
    <w:p w:rsidR="00556670" w:rsidRPr="00D068C4" w:rsidRDefault="00556670" w:rsidP="00556670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O ŚWIADCZENIE USŁUG SZKOLENIOWO-DORADCZYCH </w:t>
      </w:r>
      <w:r w:rsidRPr="00D068C4">
        <w:rPr>
          <w:rFonts w:ascii="Times New Roman" w:hAnsi="Times New Roman"/>
        </w:rPr>
        <w:br/>
        <w:t>PO OTRZYMANIU WSPARCIA FINANSOWEGO</w:t>
      </w:r>
    </w:p>
    <w:p w:rsidR="00556670" w:rsidRPr="00D068C4" w:rsidRDefault="00556670" w:rsidP="00556670">
      <w:pPr>
        <w:rPr>
          <w:rFonts w:ascii="Times New Roman" w:hAnsi="Times New Roman"/>
        </w:rPr>
      </w:pPr>
    </w:p>
    <w:p w:rsidR="00556670" w:rsidRPr="00D068C4" w:rsidRDefault="00556670" w:rsidP="00556670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 ramach </w:t>
      </w:r>
    </w:p>
    <w:p w:rsidR="00556670" w:rsidRPr="00D068C4" w:rsidRDefault="00556670" w:rsidP="00556670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  <w:b/>
        </w:rPr>
        <w:t>Osi priorytetowej 10</w:t>
      </w:r>
      <w:r w:rsidRPr="00D068C4">
        <w:rPr>
          <w:rFonts w:ascii="Times New Roman" w:hAnsi="Times New Roman"/>
        </w:rPr>
        <w:t xml:space="preserve"> – Otwarty rynek pracy</w:t>
      </w:r>
    </w:p>
    <w:p w:rsidR="00556670" w:rsidRPr="00D068C4" w:rsidRDefault="00556670" w:rsidP="00556670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  <w:b/>
        </w:rPr>
        <w:t>Działania 10.4</w:t>
      </w:r>
      <w:r w:rsidRPr="00D068C4">
        <w:rPr>
          <w:rFonts w:ascii="Times New Roman" w:hAnsi="Times New Roman"/>
        </w:rPr>
        <w:t xml:space="preserve">  - Rozwój przedsiębiorczości i tworzenie nowych miejsc pracy</w:t>
      </w:r>
    </w:p>
    <w:p w:rsidR="00556670" w:rsidRPr="00D068C4" w:rsidRDefault="00556670" w:rsidP="00556670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  <w:b/>
        </w:rPr>
        <w:t>Poddziałania 10.4.</w:t>
      </w:r>
      <w:r w:rsidRPr="00D068C4">
        <w:rPr>
          <w:rFonts w:ascii="Times New Roman" w:hAnsi="Times New Roman"/>
        </w:rPr>
        <w:t>1 Wsparcie rozwoju przedsiębiorczości poprzez zastosowanie instrumentów zwrotnych i bezzwrotnych (projekty konkursowe)</w:t>
      </w:r>
    </w:p>
    <w:p w:rsidR="00556670" w:rsidRPr="00D068C4" w:rsidRDefault="00556670" w:rsidP="00556670">
      <w:pPr>
        <w:spacing w:line="360" w:lineRule="auto"/>
        <w:rPr>
          <w:rFonts w:ascii="Times New Roman" w:hAnsi="Times New Roman"/>
        </w:rPr>
      </w:pPr>
    </w:p>
    <w:p w:rsidR="00556670" w:rsidRPr="00D068C4" w:rsidRDefault="00556670" w:rsidP="00556670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ramach</w:t>
      </w:r>
    </w:p>
    <w:p w:rsidR="00556670" w:rsidRPr="00D068C4" w:rsidRDefault="00556670" w:rsidP="006509B2">
      <w:pPr>
        <w:spacing w:line="360" w:lineRule="auto"/>
        <w:ind w:left="708" w:firstLine="708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Projektu: „</w:t>
      </w:r>
      <w:r w:rsidR="006509B2">
        <w:rPr>
          <w:rFonts w:ascii="Times New Roman" w:hAnsi="Times New Roman"/>
        </w:rPr>
        <w:t>LGD-</w:t>
      </w:r>
      <w:proofErr w:type="spellStart"/>
      <w:r w:rsidR="006509B2">
        <w:rPr>
          <w:rFonts w:ascii="Times New Roman" w:hAnsi="Times New Roman"/>
        </w:rPr>
        <w:t>owskie</w:t>
      </w:r>
      <w:proofErr w:type="spellEnd"/>
      <w:r w:rsidR="006509B2">
        <w:rPr>
          <w:rFonts w:ascii="Times New Roman" w:hAnsi="Times New Roman"/>
        </w:rPr>
        <w:t xml:space="preserve"> wsparcie w biznesowym starcie</w:t>
      </w:r>
    </w:p>
    <w:p w:rsidR="00556670" w:rsidRPr="00D068C4" w:rsidRDefault="00556670" w:rsidP="00556670">
      <w:pPr>
        <w:spacing w:line="36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współfinansowanego ze środków Europejskiego Funduszu Społecznego</w:t>
      </w:r>
    </w:p>
    <w:p w:rsidR="00556670" w:rsidRPr="00D068C4" w:rsidRDefault="00556670" w:rsidP="00556670">
      <w:pPr>
        <w:spacing w:line="360" w:lineRule="auto"/>
        <w:rPr>
          <w:rFonts w:ascii="Times New Roman" w:hAnsi="Times New Roman"/>
        </w:rPr>
      </w:pPr>
    </w:p>
    <w:p w:rsidR="00556670" w:rsidRPr="00D068C4" w:rsidRDefault="00556670" w:rsidP="006509B2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realizowanego przez </w:t>
      </w:r>
      <w:r w:rsidR="006509B2">
        <w:rPr>
          <w:rFonts w:ascii="Times New Roman" w:hAnsi="Times New Roman"/>
        </w:rPr>
        <w:t>Stowarzyszenie Lokalna Grupa Działania „Wokół Łysej Góry”</w:t>
      </w:r>
      <w:r w:rsidRPr="00D068C4">
        <w:rPr>
          <w:rFonts w:ascii="Times New Roman" w:hAnsi="Times New Roman"/>
          <w:i/>
        </w:rPr>
        <w:t xml:space="preserve"> </w:t>
      </w:r>
      <w:r w:rsidRPr="00D068C4">
        <w:rPr>
          <w:rFonts w:ascii="Times New Roman" w:hAnsi="Times New Roman"/>
        </w:rPr>
        <w:t xml:space="preserve">na podstawie umowy nr </w:t>
      </w:r>
      <w:r w:rsidR="006509B2" w:rsidRPr="00D25D09">
        <w:rPr>
          <w:rFonts w:ascii="Times New Roman" w:hAnsi="Times New Roman"/>
        </w:rPr>
        <w:t>RPSW.10.04.01-26-0081/</w:t>
      </w:r>
      <w:r w:rsidR="00D25D09">
        <w:rPr>
          <w:rFonts w:ascii="Times New Roman" w:hAnsi="Times New Roman"/>
        </w:rPr>
        <w:t>16</w:t>
      </w:r>
      <w:r w:rsidR="006509B2" w:rsidRPr="00D25D09">
        <w:rPr>
          <w:rFonts w:ascii="Times New Roman" w:hAnsi="Times New Roman"/>
        </w:rPr>
        <w:t>-00</w:t>
      </w:r>
    </w:p>
    <w:p w:rsidR="00556670" w:rsidRPr="00D068C4" w:rsidRDefault="00556670" w:rsidP="00556670">
      <w:pPr>
        <w:spacing w:line="360" w:lineRule="auto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zawarta w dniu </w:t>
      </w:r>
      <w:r w:rsidR="006509B2">
        <w:rPr>
          <w:rFonts w:ascii="Times New Roman" w:hAnsi="Times New Roman"/>
        </w:rPr>
        <w:t>15.03.2017 r.</w:t>
      </w:r>
    </w:p>
    <w:p w:rsidR="00556670" w:rsidRPr="00D068C4" w:rsidRDefault="00556670" w:rsidP="00556670">
      <w:pPr>
        <w:spacing w:line="360" w:lineRule="auto"/>
        <w:rPr>
          <w:rFonts w:ascii="Times New Roman" w:hAnsi="Times New Roman"/>
        </w:rPr>
      </w:pPr>
    </w:p>
    <w:p w:rsidR="00556670" w:rsidRDefault="00556670" w:rsidP="00556670">
      <w:pPr>
        <w:spacing w:line="360" w:lineRule="auto"/>
        <w:rPr>
          <w:rFonts w:ascii="Times New Roman" w:hAnsi="Times New Roman"/>
          <w:i/>
        </w:rPr>
      </w:pPr>
      <w:r w:rsidRPr="00D068C4">
        <w:rPr>
          <w:rFonts w:ascii="Times New Roman" w:hAnsi="Times New Roman"/>
        </w:rPr>
        <w:t>pomiędzy ………………………………… ……………………………</w:t>
      </w:r>
      <w:r w:rsidRPr="00D068C4">
        <w:rPr>
          <w:rFonts w:ascii="Times New Roman" w:hAnsi="Times New Roman"/>
          <w:i/>
        </w:rPr>
        <w:t>(Nazwa Beneficjenta)</w:t>
      </w:r>
    </w:p>
    <w:p w:rsidR="006509B2" w:rsidRDefault="006509B2" w:rsidP="00556670">
      <w:pPr>
        <w:spacing w:line="360" w:lineRule="auto"/>
        <w:rPr>
          <w:rFonts w:ascii="Times New Roman" w:hAnsi="Times New Roman"/>
          <w:i/>
        </w:rPr>
      </w:pPr>
    </w:p>
    <w:p w:rsidR="006509B2" w:rsidRPr="00D068C4" w:rsidRDefault="006509B2" w:rsidP="00556670">
      <w:pPr>
        <w:spacing w:line="360" w:lineRule="auto"/>
        <w:rPr>
          <w:rFonts w:ascii="Times New Roman" w:hAnsi="Times New Roman"/>
        </w:rPr>
      </w:pPr>
    </w:p>
    <w:p w:rsidR="00556670" w:rsidRPr="00D068C4" w:rsidRDefault="00556670" w:rsidP="00556670">
      <w:pPr>
        <w:spacing w:line="360" w:lineRule="auto"/>
        <w:rPr>
          <w:rFonts w:ascii="Times New Roman" w:hAnsi="Times New Roman"/>
        </w:rPr>
      </w:pPr>
      <w:r w:rsidRPr="00D068C4">
        <w:rPr>
          <w:rFonts w:ascii="Times New Roman" w:hAnsi="Times New Roman"/>
        </w:rPr>
        <w:t>a</w:t>
      </w:r>
    </w:p>
    <w:p w:rsidR="00556670" w:rsidRPr="00D068C4" w:rsidRDefault="00556670" w:rsidP="00556670">
      <w:pPr>
        <w:spacing w:line="360" w:lineRule="auto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…………………………………………………………………(pełne dane Uczestnika Projektu)</w:t>
      </w:r>
    </w:p>
    <w:p w:rsidR="00556670" w:rsidRPr="00D068C4" w:rsidRDefault="00556670" w:rsidP="00556670">
      <w:pPr>
        <w:spacing w:line="360" w:lineRule="auto"/>
        <w:rPr>
          <w:rFonts w:ascii="Times New Roman" w:hAnsi="Times New Roman"/>
        </w:rPr>
      </w:pPr>
      <w:r w:rsidRPr="00D068C4">
        <w:rPr>
          <w:rFonts w:ascii="Times New Roman" w:hAnsi="Times New Roman"/>
        </w:rPr>
        <w:lastRenderedPageBreak/>
        <w:t>Strony uzgodniły, co następuje:</w:t>
      </w:r>
    </w:p>
    <w:p w:rsidR="00556670" w:rsidRPr="00F15809" w:rsidRDefault="00556670" w:rsidP="00F1580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1 – Przedmiot umowy</w:t>
      </w:r>
    </w:p>
    <w:p w:rsidR="00556670" w:rsidRPr="00D068C4" w:rsidRDefault="00556670" w:rsidP="00556670">
      <w:pPr>
        <w:numPr>
          <w:ilvl w:val="1"/>
          <w:numId w:val="23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Przedmiotem niniejszej Umowy jest udzielenie przez Beneficjenta wsparcia w formie nieodpłatnych usług szkoleniowo-doradczych dotyczących zagadnień związanych z prowadzeniem działalności gospodarczej.</w:t>
      </w:r>
    </w:p>
    <w:p w:rsidR="00556670" w:rsidRPr="00D068C4" w:rsidRDefault="00556670" w:rsidP="00556670">
      <w:pPr>
        <w:numPr>
          <w:ilvl w:val="1"/>
          <w:numId w:val="23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Uczestnik projektu otrzymuje wsparcie szkoleniowo – doradcze na zasadach i warunkach określonych w niniejszej umowie.</w:t>
      </w:r>
    </w:p>
    <w:p w:rsidR="00556670" w:rsidRPr="00D068C4" w:rsidRDefault="00556670" w:rsidP="00556670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2 – Okres udzielania wsparcia szkoleniowo-doradczego</w:t>
      </w:r>
    </w:p>
    <w:p w:rsidR="00556670" w:rsidRPr="00D068C4" w:rsidRDefault="00556670" w:rsidP="00556670">
      <w:pPr>
        <w:spacing w:line="360" w:lineRule="auto"/>
        <w:jc w:val="both"/>
        <w:rPr>
          <w:rFonts w:ascii="Times New Roman" w:hAnsi="Times New Roman"/>
          <w:b/>
        </w:rPr>
      </w:pPr>
      <w:r w:rsidRPr="00D068C4">
        <w:rPr>
          <w:rFonts w:ascii="Times New Roman" w:hAnsi="Times New Roman"/>
        </w:rPr>
        <w:t xml:space="preserve">Wsparcie szkoleniowo – doradcze udzielane jest od dnia </w:t>
      </w:r>
      <w:r w:rsidRPr="00D068C4">
        <w:rPr>
          <w:rFonts w:ascii="Times New Roman" w:hAnsi="Times New Roman"/>
          <w:b/>
        </w:rPr>
        <w:t xml:space="preserve">………….……. </w:t>
      </w:r>
      <w:r w:rsidRPr="00D068C4">
        <w:rPr>
          <w:rFonts w:ascii="Times New Roman" w:hAnsi="Times New Roman"/>
        </w:rPr>
        <w:t>do dnia</w:t>
      </w:r>
      <w:r w:rsidRPr="00D068C4">
        <w:rPr>
          <w:rFonts w:ascii="Times New Roman" w:hAnsi="Times New Roman"/>
          <w:b/>
        </w:rPr>
        <w:t xml:space="preserve"> ………………….</w:t>
      </w:r>
    </w:p>
    <w:p w:rsidR="00556670" w:rsidRPr="00D068C4" w:rsidRDefault="00556670" w:rsidP="00556670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3 – Postanowienia szczegółowe</w:t>
      </w:r>
    </w:p>
    <w:p w:rsidR="00556670" w:rsidRPr="00D068C4" w:rsidRDefault="00556670" w:rsidP="00556670">
      <w:pPr>
        <w:numPr>
          <w:ilvl w:val="3"/>
          <w:numId w:val="21"/>
        </w:numPr>
        <w:tabs>
          <w:tab w:val="clear" w:pos="2880"/>
          <w:tab w:val="num" w:pos="284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Pomoc będąca przedmiotem niniejszej umowy udzielana jest w oparciu o zasadę de </w:t>
      </w:r>
      <w:proofErr w:type="spellStart"/>
      <w:r w:rsidRPr="00D068C4">
        <w:rPr>
          <w:rFonts w:ascii="Times New Roman" w:hAnsi="Times New Roman"/>
        </w:rPr>
        <w:t>minimis</w:t>
      </w:r>
      <w:proofErr w:type="spellEnd"/>
      <w:r w:rsidRPr="00D068C4">
        <w:rPr>
          <w:rFonts w:ascii="Times New Roman" w:hAnsi="Times New Roman"/>
        </w:rPr>
        <w:t xml:space="preserve">, zgodnie z Rozporządzeniem Ministra Infrastruktury i Rozwoju w sprawie udzielania pomocy de </w:t>
      </w:r>
      <w:proofErr w:type="spellStart"/>
      <w:r w:rsidRPr="00D068C4">
        <w:rPr>
          <w:rFonts w:ascii="Times New Roman" w:hAnsi="Times New Roman"/>
        </w:rPr>
        <w:t>minimis</w:t>
      </w:r>
      <w:proofErr w:type="spellEnd"/>
      <w:r w:rsidRPr="00D068C4">
        <w:rPr>
          <w:rFonts w:ascii="Times New Roman" w:hAnsi="Times New Roman"/>
        </w:rPr>
        <w:t xml:space="preserve"> oraz pomocy publicznej w ramach programów operacyjnych finansowanych </w:t>
      </w:r>
      <w:r w:rsidRPr="00D068C4">
        <w:rPr>
          <w:rFonts w:ascii="Times New Roman" w:hAnsi="Times New Roman"/>
        </w:rPr>
        <w:br/>
        <w:t>z Europejskiego Funduszu Społecznego na lata 2014-2020 z dnia 2.07.2015 r.</w:t>
      </w:r>
      <w:r w:rsidRPr="00D068C4">
        <w:rPr>
          <w:rFonts w:ascii="Times New Roman" w:hAnsi="Times New Roman"/>
          <w:iCs/>
        </w:rPr>
        <w:t xml:space="preserve"> </w:t>
      </w:r>
      <w:r w:rsidRPr="00D068C4">
        <w:rPr>
          <w:rFonts w:ascii="Times New Roman" w:hAnsi="Times New Roman"/>
        </w:rPr>
        <w:t>(Dz. U. z 2015 r.</w:t>
      </w:r>
      <w:r w:rsidRPr="00D068C4">
        <w:t xml:space="preserve"> </w:t>
      </w:r>
      <w:r w:rsidRPr="00D068C4">
        <w:rPr>
          <w:rFonts w:ascii="Times New Roman" w:hAnsi="Times New Roman"/>
        </w:rPr>
        <w:t>poz.1073).</w:t>
      </w:r>
    </w:p>
    <w:p w:rsidR="00556670" w:rsidRPr="00D068C4" w:rsidRDefault="00556670" w:rsidP="00556670">
      <w:pPr>
        <w:numPr>
          <w:ilvl w:val="3"/>
          <w:numId w:val="21"/>
        </w:numPr>
        <w:tabs>
          <w:tab w:val="clear" w:pos="2880"/>
          <w:tab w:val="num" w:pos="284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/>
          <w:i/>
        </w:rPr>
      </w:pPr>
      <w:r w:rsidRPr="00D068C4">
        <w:rPr>
          <w:rFonts w:ascii="Times New Roman" w:hAnsi="Times New Roman"/>
        </w:rPr>
        <w:t xml:space="preserve">Wsparcie szkoleniowe obejmuje </w:t>
      </w:r>
      <w:r w:rsidRPr="00D068C4">
        <w:rPr>
          <w:rFonts w:ascii="Times New Roman" w:hAnsi="Times New Roman"/>
          <w:i/>
        </w:rPr>
        <w:t xml:space="preserve">[należy wskazać ilość godzin wsparcia szkoleniowego]  ] </w:t>
      </w:r>
      <w:r w:rsidRPr="00D068C4">
        <w:rPr>
          <w:rFonts w:ascii="Times New Roman" w:hAnsi="Times New Roman"/>
          <w:i/>
        </w:rPr>
        <w:br/>
      </w:r>
      <w:r w:rsidRPr="00D068C4">
        <w:rPr>
          <w:rFonts w:ascii="Times New Roman" w:hAnsi="Times New Roman"/>
        </w:rPr>
        <w:t xml:space="preserve">i uwzględnia następujące tematy: </w:t>
      </w:r>
      <w:r w:rsidRPr="00D068C4">
        <w:rPr>
          <w:rFonts w:ascii="Times New Roman" w:hAnsi="Times New Roman"/>
          <w:i/>
        </w:rPr>
        <w:t>[należy przedstawić  ujednoliconą tematykę szkolenia, która powinna zawierać zagadnienia związane z  prowadzeniem działalności gospodarczej ].</w:t>
      </w:r>
    </w:p>
    <w:p w:rsidR="00556670" w:rsidRPr="00D068C4" w:rsidRDefault="00556670" w:rsidP="00556670">
      <w:pPr>
        <w:numPr>
          <w:ilvl w:val="0"/>
          <w:numId w:val="24"/>
        </w:numPr>
        <w:tabs>
          <w:tab w:val="clear" w:pos="5749"/>
          <w:tab w:val="num" w:pos="284"/>
        </w:tabs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Zakres wsparcia doradczego ustalany jest przez Beneficjenta na podstawie diagnozy potrzeb doradczych uczestnika projektu. </w:t>
      </w:r>
    </w:p>
    <w:p w:rsidR="00556670" w:rsidRPr="00D068C4" w:rsidRDefault="00556670" w:rsidP="00556670">
      <w:pPr>
        <w:numPr>
          <w:ilvl w:val="0"/>
          <w:numId w:val="24"/>
        </w:numPr>
        <w:tabs>
          <w:tab w:val="clear" w:pos="5749"/>
          <w:tab w:val="num" w:pos="284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Wsparcie doradcze obejmuje </w:t>
      </w:r>
      <w:r w:rsidRPr="00D068C4">
        <w:rPr>
          <w:rFonts w:ascii="Times New Roman" w:hAnsi="Times New Roman"/>
          <w:i/>
        </w:rPr>
        <w:t xml:space="preserve">[należy wskazać ilość godzin wsparcia doradczego ] </w:t>
      </w:r>
      <w:r w:rsidRPr="00D068C4">
        <w:rPr>
          <w:rFonts w:ascii="Times New Roman" w:hAnsi="Times New Roman"/>
        </w:rPr>
        <w:t xml:space="preserve">Liczba godzin usług doradczych świadczona na rzecz uczestnika projektu potwierdzana jest podpisem uczestnika projektu, złożonym w dniu korzystania z usługi. </w:t>
      </w:r>
    </w:p>
    <w:p w:rsidR="00556670" w:rsidRPr="00D068C4" w:rsidRDefault="00556670" w:rsidP="00556670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4 – Zmiany umowy</w:t>
      </w:r>
    </w:p>
    <w:p w:rsidR="00F15809" w:rsidRPr="00F15809" w:rsidRDefault="00556670" w:rsidP="00F15809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Wszelkie zmiany Umowy wymagają aneksu w formie p</w:t>
      </w:r>
      <w:r w:rsidR="00F15809">
        <w:rPr>
          <w:rFonts w:ascii="Times New Roman" w:hAnsi="Times New Roman"/>
        </w:rPr>
        <w:t>isemnej pod rygorem nieważności.</w:t>
      </w:r>
    </w:p>
    <w:p w:rsidR="00556670" w:rsidRPr="00D068C4" w:rsidRDefault="00556670" w:rsidP="00F1580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5 – Rozwiązanie umowy</w:t>
      </w:r>
    </w:p>
    <w:p w:rsidR="00556670" w:rsidRPr="00D068C4" w:rsidRDefault="00556670" w:rsidP="00556670">
      <w:pPr>
        <w:numPr>
          <w:ilvl w:val="0"/>
          <w:numId w:val="25"/>
        </w:numPr>
        <w:tabs>
          <w:tab w:val="clear" w:pos="2880"/>
          <w:tab w:val="num" w:pos="284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Uczestnik projektu może rozwiązać umowę bez wypowiedzenia w przypadku nie wywiązywania się Beneficjenta z zapisów niniejszej umowy. Rozwiązanie umowy jest jednoznaczne z zaprzestaniem uczestnictwa w projekcie.</w:t>
      </w:r>
    </w:p>
    <w:p w:rsidR="00556670" w:rsidRPr="00D068C4" w:rsidRDefault="00556670" w:rsidP="00556670">
      <w:pPr>
        <w:numPr>
          <w:ilvl w:val="0"/>
          <w:numId w:val="25"/>
        </w:numPr>
        <w:tabs>
          <w:tab w:val="clear" w:pos="2880"/>
          <w:tab w:val="num" w:pos="284"/>
        </w:tabs>
        <w:suppressAutoHyphens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lastRenderedPageBreak/>
        <w:t>Beneficjent może wypowiedzieć Umowę ze skutkiem natychmiastowym, oznaczającym wykluczenie uczestnika z projektu,  w przypadku kiedy uczestnik projektu:</w:t>
      </w:r>
    </w:p>
    <w:p w:rsidR="00556670" w:rsidRPr="00D068C4" w:rsidRDefault="00556670" w:rsidP="00556670">
      <w:pPr>
        <w:numPr>
          <w:ilvl w:val="1"/>
          <w:numId w:val="22"/>
        </w:numPr>
        <w:suppressAutoHyphens w:val="0"/>
        <w:spacing w:after="0" w:line="360" w:lineRule="auto"/>
        <w:rPr>
          <w:rFonts w:ascii="Times New Roman" w:hAnsi="Times New Roman"/>
        </w:rPr>
      </w:pPr>
      <w:r w:rsidRPr="00D068C4">
        <w:rPr>
          <w:rFonts w:ascii="Times New Roman" w:hAnsi="Times New Roman"/>
        </w:rPr>
        <w:t>opuści więcej niż 20 % godzin szkoleniowych,</w:t>
      </w:r>
    </w:p>
    <w:p w:rsidR="00556670" w:rsidRPr="00D068C4" w:rsidRDefault="00556670" w:rsidP="00556670">
      <w:pPr>
        <w:numPr>
          <w:ilvl w:val="1"/>
          <w:numId w:val="22"/>
        </w:numPr>
        <w:suppressAutoHyphens w:val="0"/>
        <w:spacing w:after="0" w:line="360" w:lineRule="auto"/>
        <w:rPr>
          <w:rFonts w:ascii="Times New Roman" w:hAnsi="Times New Roman"/>
        </w:rPr>
      </w:pPr>
      <w:r w:rsidRPr="00D068C4">
        <w:rPr>
          <w:rFonts w:ascii="Times New Roman" w:hAnsi="Times New Roman"/>
        </w:rPr>
        <w:t>nie skorzysta z ustalonej liczby godzin doradztwa.</w:t>
      </w:r>
    </w:p>
    <w:p w:rsidR="00556670" w:rsidRPr="00D068C4" w:rsidRDefault="00556670" w:rsidP="00556670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przypadku rozwiązania umowy z powodów wymienionych w § 5 ust 2, uczestnik projektu zobowiązany jest do zwrotu tych środków odpowiednio w całości lub części (według wartości wsparcia szkoleniowo – doradczego, wycenionej przez Beneficjenta w oparciu o koszty projektu w tym zakresie) wraz z odsetkami w wysokości określonej jak dla zaległości podatkowych, w terminie i na rachunek wskazany przez Beneficjenta lub inny podmiot , o którym mowa w ust.1.</w:t>
      </w:r>
    </w:p>
    <w:p w:rsidR="00556670" w:rsidRPr="00D068C4" w:rsidRDefault="00556670" w:rsidP="00556670">
      <w:pPr>
        <w:numPr>
          <w:ilvl w:val="0"/>
          <w:numId w:val="26"/>
        </w:numPr>
        <w:suppressAutoHyphens w:val="0"/>
        <w:spacing w:after="0"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przypadku likwidacji lub zawieszenia przez uczestnika projektu działalności gospodarczej podczas korzystania z pomocy objętej Umową , uczestnik ma obowiązek poinformowania Beneficjenta o tych okolicznościach w ciągu 7 dni od dnia ich wystąpienia.</w:t>
      </w:r>
    </w:p>
    <w:p w:rsidR="00556670" w:rsidRPr="00D068C4" w:rsidRDefault="00556670" w:rsidP="00F15809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6 – Prawo właściwe i właściwość sądów</w:t>
      </w:r>
    </w:p>
    <w:p w:rsidR="00556670" w:rsidRPr="00D068C4" w:rsidRDefault="00556670" w:rsidP="00556670">
      <w:pPr>
        <w:numPr>
          <w:ilvl w:val="3"/>
          <w:numId w:val="23"/>
        </w:numPr>
        <w:tabs>
          <w:tab w:val="clear" w:pos="1134"/>
          <w:tab w:val="num" w:pos="284"/>
        </w:tabs>
        <w:suppressAutoHyphens w:val="0"/>
        <w:spacing w:after="0" w:line="360" w:lineRule="auto"/>
        <w:ind w:left="0" w:firstLine="0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Postanowienia niniejszej umowy podlegają przepisom prawa polskiego.</w:t>
      </w:r>
    </w:p>
    <w:p w:rsidR="00556670" w:rsidRPr="00D068C4" w:rsidRDefault="00556670" w:rsidP="00556670">
      <w:pPr>
        <w:numPr>
          <w:ilvl w:val="0"/>
          <w:numId w:val="27"/>
        </w:numPr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Wszelkie spory pomiędzy Beneficjentem a uczestnikiem projektu związane z realizacją niniejszej umowy strony będą starały się rozwiązać polubownie. </w:t>
      </w:r>
    </w:p>
    <w:p w:rsidR="00556670" w:rsidRPr="00D068C4" w:rsidRDefault="00556670" w:rsidP="00556670">
      <w:pPr>
        <w:numPr>
          <w:ilvl w:val="0"/>
          <w:numId w:val="27"/>
        </w:numPr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przypadku braku porozumienia spór będzie podlegał rozstrzygnięciu przez sąd powszechny właściwy dla miejsca zamieszkania uczestnika projektu.</w:t>
      </w:r>
    </w:p>
    <w:p w:rsidR="00556670" w:rsidRPr="00D068C4" w:rsidRDefault="00556670" w:rsidP="00556670">
      <w:pPr>
        <w:numPr>
          <w:ilvl w:val="0"/>
          <w:numId w:val="27"/>
        </w:numPr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Umowę sporządzono w dwóch jednobrzmiących egzemplarzach: jednym dla Beneficjenta </w:t>
      </w:r>
      <w:r w:rsidRPr="00D068C4">
        <w:rPr>
          <w:rFonts w:ascii="Times New Roman" w:hAnsi="Times New Roman"/>
        </w:rPr>
        <w:br/>
        <w:t>i jednym dla uczestnika projektu.</w:t>
      </w:r>
    </w:p>
    <w:p w:rsidR="00556670" w:rsidRPr="00D068C4" w:rsidRDefault="00556670" w:rsidP="00556670">
      <w:pPr>
        <w:numPr>
          <w:ilvl w:val="0"/>
          <w:numId w:val="27"/>
        </w:numPr>
        <w:suppressAutoHyphens w:val="0"/>
        <w:spacing w:after="0" w:line="360" w:lineRule="auto"/>
        <w:ind w:left="374" w:hanging="374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Obowiązki i prawa wynikające z umowy nie mogą być w żadnym wypadku przenoszone na rzecz osoby trzeciej.</w:t>
      </w:r>
    </w:p>
    <w:p w:rsidR="00556670" w:rsidRPr="00D068C4" w:rsidRDefault="00556670" w:rsidP="00556670">
      <w:pPr>
        <w:spacing w:line="36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§ 7 – Korespondencja</w:t>
      </w:r>
    </w:p>
    <w:p w:rsidR="00556670" w:rsidRPr="00D068C4" w:rsidRDefault="00556670" w:rsidP="00556670">
      <w:pPr>
        <w:spacing w:line="36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Wszelka korespondencja związana z realizacją niniejszej umowy będzie prowadzona w formie pisemnej oraz oznaczona numerem niniejszej umowy.</w:t>
      </w:r>
    </w:p>
    <w:p w:rsidR="00556670" w:rsidRPr="00D068C4" w:rsidRDefault="00556670" w:rsidP="00556670">
      <w:pPr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…………………., ………….</w:t>
      </w:r>
    </w:p>
    <w:p w:rsidR="00556670" w:rsidRPr="00D068C4" w:rsidRDefault="00556670" w:rsidP="00556670">
      <w:pPr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(miejscowość, data)</w:t>
      </w:r>
    </w:p>
    <w:p w:rsidR="00556670" w:rsidRPr="00F15809" w:rsidRDefault="00556670" w:rsidP="00556670">
      <w:pPr>
        <w:spacing w:line="240" w:lineRule="auto"/>
        <w:jc w:val="both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Beneficjent</w:t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</w:r>
      <w:r w:rsidRPr="00D068C4">
        <w:rPr>
          <w:rFonts w:ascii="Times New Roman" w:hAnsi="Times New Roman"/>
          <w:b/>
        </w:rPr>
        <w:tab/>
        <w:t>Uczestnik projektu</w:t>
      </w:r>
    </w:p>
    <w:p w:rsidR="00556670" w:rsidRPr="00D068C4" w:rsidRDefault="00556670" w:rsidP="00556670">
      <w:pPr>
        <w:spacing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………………………….</w:t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  <w:t>………………………</w:t>
      </w:r>
    </w:p>
    <w:p w:rsidR="00556670" w:rsidRPr="00D068C4" w:rsidRDefault="00556670" w:rsidP="00556670">
      <w:pPr>
        <w:spacing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………………………….</w:t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  <w:t xml:space="preserve">            .…………………….</w:t>
      </w:r>
    </w:p>
    <w:p w:rsidR="00556670" w:rsidRPr="00F15809" w:rsidRDefault="00556670" w:rsidP="00F15809">
      <w:pPr>
        <w:spacing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       (podpis)</w:t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  <w:t xml:space="preserve"> (podpis)</w:t>
      </w:r>
    </w:p>
    <w:sectPr w:rsidR="00556670" w:rsidRPr="00F15809" w:rsidSect="006A0A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979" w:rsidRDefault="00472979">
      <w:pPr>
        <w:spacing w:after="0" w:line="240" w:lineRule="auto"/>
      </w:pPr>
      <w:r>
        <w:separator/>
      </w:r>
    </w:p>
  </w:endnote>
  <w:endnote w:type="continuationSeparator" w:id="0">
    <w:p w:rsidR="00472979" w:rsidRDefault="0047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74" w:rsidRPr="00846C74" w:rsidRDefault="00846C74" w:rsidP="00846C74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846C74">
      <w:rPr>
        <w:rFonts w:ascii="Cambria" w:hAnsi="Cambria"/>
        <w:color w:val="auto"/>
        <w:sz w:val="18"/>
        <w:szCs w:val="18"/>
      </w:rPr>
      <w:t xml:space="preserve">Projekt </w:t>
    </w:r>
    <w:proofErr w:type="spellStart"/>
    <w:r w:rsidRPr="00846C74">
      <w:rPr>
        <w:rFonts w:ascii="Cambria" w:hAnsi="Cambria"/>
        <w:color w:val="auto"/>
        <w:sz w:val="18"/>
        <w:szCs w:val="18"/>
      </w:rPr>
      <w:t>pn</w:t>
    </w:r>
    <w:proofErr w:type="spellEnd"/>
    <w:r w:rsidRPr="00846C74">
      <w:rPr>
        <w:rFonts w:ascii="Cambria" w:hAnsi="Cambria"/>
        <w:color w:val="auto"/>
        <w:sz w:val="18"/>
        <w:szCs w:val="18"/>
      </w:rPr>
      <w:t xml:space="preserve"> „LGD-</w:t>
    </w:r>
    <w:proofErr w:type="spellStart"/>
    <w:r w:rsidRPr="00846C74">
      <w:rPr>
        <w:rFonts w:ascii="Cambria" w:hAnsi="Cambria"/>
        <w:color w:val="auto"/>
        <w:sz w:val="18"/>
        <w:szCs w:val="18"/>
      </w:rPr>
      <w:t>owskie</w:t>
    </w:r>
    <w:proofErr w:type="spellEnd"/>
    <w:r w:rsidRPr="00846C74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846C74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7216" behindDoc="1" locked="0" layoutInCell="1" allowOverlap="1" wp14:anchorId="013130FE" wp14:editId="57312B5B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6C74" w:rsidRPr="00846C74" w:rsidRDefault="00846C74" w:rsidP="00846C74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846C74">
      <w:rPr>
        <w:rFonts w:ascii="Cambria" w:hAnsi="Cambria"/>
        <w:color w:val="auto"/>
        <w:sz w:val="18"/>
        <w:szCs w:val="18"/>
      </w:rPr>
      <w:t xml:space="preserve">umowy zawartej z Wojewódzkim Urzędem Pracy w Kielcach </w:t>
    </w:r>
    <w:r w:rsidRPr="00846C74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846C74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14592CE9" wp14:editId="3C1CA656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46C74" w:rsidRPr="00846C74" w:rsidRDefault="00846C74" w:rsidP="00846C74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Pr="00846C74" w:rsidRDefault="00846C74" w:rsidP="00846C74">
    <w:pPr>
      <w:pStyle w:val="Stopka"/>
    </w:pPr>
    <w:r w:rsidRPr="00846C74">
      <w:rPr>
        <w:rFonts w:ascii="Cambria" w:eastAsia="Calibri" w:hAnsi="Cambria" w:cs="Times New Roman"/>
        <w:color w:val="auto"/>
      </w:rPr>
      <w:t xml:space="preserve">  </w:t>
    </w:r>
    <w:r w:rsidRPr="00846C74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846C74">
      <w:rPr>
        <w:rFonts w:ascii="Cambria" w:eastAsia="Calibri" w:hAnsi="Cambria" w:cs="Times New Roman"/>
        <w:color w:val="auto"/>
      </w:rPr>
      <w:t xml:space="preserve"> </w:t>
    </w:r>
    <w:r w:rsidRPr="00846C74">
      <w:rPr>
        <w:rFonts w:ascii="Cambria" w:eastAsia="Calibri" w:hAnsi="Cambria" w:cs="Times New Roman"/>
        <w:color w:val="auto"/>
      </w:rPr>
      <w:tab/>
    </w:r>
    <w:r w:rsidRPr="00846C74">
      <w:rPr>
        <w:rFonts w:ascii="Cambria" w:eastAsia="Calibri" w:hAnsi="Cambria" w:cs="Times New Roman"/>
        <w:color w:val="auto"/>
      </w:rPr>
      <w:tab/>
    </w:r>
    <w:r w:rsidRPr="00846C74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846C74">
      <w:rPr>
        <w:rFonts w:ascii="Cambria" w:eastAsia="Calibri" w:hAnsi="Cambria" w:cs="Times New Roman"/>
        <w:color w:val="aut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979" w:rsidRDefault="00472979">
      <w:pPr>
        <w:spacing w:after="0" w:line="240" w:lineRule="auto"/>
      </w:pPr>
      <w:r>
        <w:separator/>
      </w:r>
    </w:p>
  </w:footnote>
  <w:footnote w:type="continuationSeparator" w:id="0">
    <w:p w:rsidR="00472979" w:rsidRDefault="00472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0DE7"/>
    <w:multiLevelType w:val="hybridMultilevel"/>
    <w:tmpl w:val="784201E4"/>
    <w:lvl w:ilvl="0" w:tplc="F544C5C4">
      <w:start w:val="1"/>
      <w:numFmt w:val="decimal"/>
      <w:lvlText w:val="%1."/>
      <w:lvlJc w:val="left"/>
      <w:pPr>
        <w:tabs>
          <w:tab w:val="num" w:pos="5749"/>
        </w:tabs>
        <w:ind w:left="5749" w:hanging="360"/>
      </w:pPr>
      <w:rPr>
        <w:rFonts w:hint="default"/>
        <w:color w:val="auto"/>
      </w:rPr>
    </w:lvl>
    <w:lvl w:ilvl="1" w:tplc="0D96A1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DEC30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93066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D4020"/>
    <w:multiLevelType w:val="hybridMultilevel"/>
    <w:tmpl w:val="663A2A44"/>
    <w:lvl w:ilvl="0" w:tplc="2930660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D96A1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BCFC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5128B"/>
    <w:multiLevelType w:val="multilevel"/>
    <w:tmpl w:val="E516181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color w:val="FF000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8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CA68BE"/>
    <w:multiLevelType w:val="hybridMultilevel"/>
    <w:tmpl w:val="2F66CBD6"/>
    <w:lvl w:ilvl="0" w:tplc="7FE4CF5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6D682A"/>
    <w:multiLevelType w:val="hybridMultilevel"/>
    <w:tmpl w:val="9DF402B6"/>
    <w:lvl w:ilvl="0" w:tplc="C1AC6F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60BC8"/>
    <w:multiLevelType w:val="multilevel"/>
    <w:tmpl w:val="4E9AD05C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color w:val="FF000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4">
    <w:nsid w:val="780B1DE2"/>
    <w:multiLevelType w:val="hybridMultilevel"/>
    <w:tmpl w:val="26D8B166"/>
    <w:lvl w:ilvl="0" w:tplc="4EA800C6">
      <w:start w:val="3"/>
      <w:numFmt w:val="decimal"/>
      <w:lvlText w:val="%1."/>
      <w:lvlJc w:val="left"/>
      <w:pPr>
        <w:tabs>
          <w:tab w:val="num" w:pos="5749"/>
        </w:tabs>
        <w:ind w:left="57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20"/>
  </w:num>
  <w:num w:numId="5">
    <w:abstractNumId w:val="3"/>
  </w:num>
  <w:num w:numId="6">
    <w:abstractNumId w:val="8"/>
  </w:num>
  <w:num w:numId="7">
    <w:abstractNumId w:val="26"/>
  </w:num>
  <w:num w:numId="8">
    <w:abstractNumId w:val="21"/>
  </w:num>
  <w:num w:numId="9">
    <w:abstractNumId w:val="9"/>
  </w:num>
  <w:num w:numId="10">
    <w:abstractNumId w:val="16"/>
  </w:num>
  <w:num w:numId="11">
    <w:abstractNumId w:val="6"/>
  </w:num>
  <w:num w:numId="12">
    <w:abstractNumId w:val="15"/>
  </w:num>
  <w:num w:numId="13">
    <w:abstractNumId w:val="14"/>
  </w:num>
  <w:num w:numId="14">
    <w:abstractNumId w:val="18"/>
  </w:num>
  <w:num w:numId="15">
    <w:abstractNumId w:val="10"/>
  </w:num>
  <w:num w:numId="16">
    <w:abstractNumId w:val="12"/>
  </w:num>
  <w:num w:numId="17">
    <w:abstractNumId w:val="7"/>
  </w:num>
  <w:num w:numId="18">
    <w:abstractNumId w:val="13"/>
  </w:num>
  <w:num w:numId="19">
    <w:abstractNumId w:val="25"/>
  </w:num>
  <w:num w:numId="20">
    <w:abstractNumId w:val="5"/>
  </w:num>
  <w:num w:numId="21">
    <w:abstractNumId w:val="0"/>
  </w:num>
  <w:num w:numId="22">
    <w:abstractNumId w:val="2"/>
  </w:num>
  <w:num w:numId="23">
    <w:abstractNumId w:val="23"/>
  </w:num>
  <w:num w:numId="24">
    <w:abstractNumId w:val="24"/>
  </w:num>
  <w:num w:numId="25">
    <w:abstractNumId w:val="19"/>
  </w:num>
  <w:num w:numId="26">
    <w:abstractNumId w:val="2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456F8"/>
    <w:rsid w:val="00050165"/>
    <w:rsid w:val="0008052F"/>
    <w:rsid w:val="002051A8"/>
    <w:rsid w:val="00210C3C"/>
    <w:rsid w:val="004524ED"/>
    <w:rsid w:val="00472979"/>
    <w:rsid w:val="00556670"/>
    <w:rsid w:val="006509B2"/>
    <w:rsid w:val="006A0A86"/>
    <w:rsid w:val="006A4E3A"/>
    <w:rsid w:val="00846C74"/>
    <w:rsid w:val="00C8589C"/>
    <w:rsid w:val="00D25D09"/>
    <w:rsid w:val="00F1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6A0A86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6A0A8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6A0A86"/>
    <w:pPr>
      <w:spacing w:after="140" w:line="288" w:lineRule="auto"/>
    </w:pPr>
  </w:style>
  <w:style w:type="paragraph" w:styleId="Lista">
    <w:name w:val="List"/>
    <w:basedOn w:val="Tretekstu"/>
    <w:rsid w:val="006A0A86"/>
    <w:rPr>
      <w:rFonts w:cs="FreeSans"/>
    </w:rPr>
  </w:style>
  <w:style w:type="paragraph" w:styleId="Podpis">
    <w:name w:val="Signature"/>
    <w:basedOn w:val="Normalny"/>
    <w:rsid w:val="006A0A8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6A0A86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6A0A86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6A0A8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6A0A86"/>
    <w:pPr>
      <w:spacing w:after="140" w:line="288" w:lineRule="auto"/>
    </w:pPr>
  </w:style>
  <w:style w:type="paragraph" w:styleId="Lista">
    <w:name w:val="List"/>
    <w:basedOn w:val="Tretekstu"/>
    <w:rsid w:val="006A0A86"/>
    <w:rPr>
      <w:rFonts w:cs="FreeSans"/>
    </w:rPr>
  </w:style>
  <w:style w:type="paragraph" w:styleId="Podpis">
    <w:name w:val="Signature"/>
    <w:basedOn w:val="Normalny"/>
    <w:rsid w:val="006A0A8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6A0A86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2017-04-20T10:43:00Z</dcterms:created>
  <dcterms:modified xsi:type="dcterms:W3CDTF">2017-04-20T10:43:00Z</dcterms:modified>
  <dc:language>pl-PL</dc:language>
</cp:coreProperties>
</file>